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59 vom 12. August 2025</w:t>
      </w:r>
    </w:p>
    <w:p>
      <w:r>
        <w:t>VS Kantonsgericht, 2025-08-12, FR</w:t>
      </w:r>
    </w:p>
    <w:p>
      <w:r>
        <w:rPr>
          <w:b/>
        </w:rPr>
        <w:t xml:space="preserve">Quelle: </w:t>
      </w:r>
      <w:r>
        <w:t>https://mcp.opencaselaw.ch/entscheid/vs_gerichte_F1 24 59</w:t>
      </w:r>
    </w:p>
    <w:p>
      <w:r>
        <w:t>FR: VS_GERICHTE F1 24 59 du 12 août 2025</w:t>
      </w:r>
    </w:p>
    <w:p>
      <w:r>
        <w:t>IT: VS_GERICHTE F1 24 59 del 12 agosto 2025</w:t>
      </w:r>
    </w:p>
    <w:p>
      <w:pPr>
        <w:pStyle w:val="Heading2"/>
      </w:pPr>
      <w:r>
        <w:t>Regeste</w:t>
      </w:r>
    </w:p>
    <w:p>
      <w:r>
        <w:t>F1 24 59 (CCR 2023/23) ARRÊT DU 12 AOÛT 2025 Tribunal cantonal du Valais Cour de droit fiscal Composition : Frédéric Fellay, président ; Dr Thierry Schnyder, juge ; Didier Bourgeois, juge assesseur ; Julia Kamhi, greffière, en la cause X _________ SA, recourante contre COMMISSION D’IMPÔT DES PERSONNES MORALES, autorité attaquée (Impôt sur le bénéfice et le capital des personnes morales, période fiscale 2020) recours contre la décision sur réclamation du 10 février 2023</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et art. 8 LALIFD). Il lui appartient par conséquent de statuer sur le recours,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 II. Impôt fédéral direct</w:t>
      </w:r>
    </w:p>
    <w:p>
      <w:r>
        <w:rPr>
          <w:b/>
        </w:rPr>
        <w:t>E. 2</w:t>
      </w:r>
    </w:p>
    <w:p>
      <w:r>
        <w:t>Dans un premier grief, la recourante invoque une violation des art. 58 et 63 LIFD s’agissant du refus du fisc d’admettre la provision pour grosses réparations de 491’615 francs.</w:t>
      </w:r>
    </w:p>
    <w:p>
      <w:r>
        <w:rPr>
          <w:b/>
        </w:rPr>
        <w:t>E. 2.1</w:t>
      </w:r>
    </w:p>
    <w:p>
      <w:r>
        <w:t>Selon l’art. 63 al. 1 LIFD, des provisions peuvent être constituées à la charge du compte de résultats notamment pour les engagements de l'exercice dont le montant est encore indéterminé (let. a) et pour les risques de pertes imminentes durant l'exercice</w:t>
      </w:r>
    </w:p>
    <w:p>
      <w:r>
        <w:t>- 10 - (let. c). Pour être admise en droit fiscal, la provision doit avoir été dûment comptabilisée, être justifiée par l'usage commercial et porter sur des faits dont l'origine se déroule durant la période de calcul (arrêt du Tribunal fédéral 2C_723/2021 du 16 août 2022 consid. 5.2). En revanche, les provisions constituées en vue d'une utilisation future, notamment pour faire face à des dépenses que l'entreprise devra supporter en raison de son activité future, représentent des réserves ; en tant que telles, elles font partie du bénéfice imposable (arrêt du Tribunal fédéral 9C_419/2023 du 4 octobre 2024 consid. 4.3.2 ; OBERSON, Droit fiscal suisse, 5ème éd. 2021, § 7 n° 317). Lorsque des provisions passées en charge du compte de résultats ne sont pas admissibles, l'autorité fiscale est en droit de procéder à leur dissolution (arrêt du Tribunal fédéral 2C_723/2021 précité consid. 5.2).</w:t>
      </w:r>
    </w:p>
    <w:p>
      <w:r>
        <w:rPr>
          <w:b/>
        </w:rPr>
        <w:t>E. 2.2.1</w:t>
      </w:r>
    </w:p>
    <w:p>
      <w:r>
        <w:t>Les provisions pour les engagements de l'exercice au sens de l'art. 63 al. 1 let. a LIFD doivent reposer sur un contrat ou sur une loi (ATF 147 II 209 consid. 4.1.1 ; arrêt du Tribunal fédéral 2C_723/2021 précité consid. 5.3). Il s’agit d’engagements qui existent certes à la fin de l'exercice, mais dont l’étendue et/ou le montant ne sont pas fixés avec précision. Il est ainsi indispensable que l'obligation ait été créée au cours de l'exercice concerné (ATF 147 II 209 consid. 4.1.1 ; OBERSON, op. cit., § 10 n° 20 et § 7 n° 317). En outre, il doit s’agir d’un engagement externe et pas seulement d’un engagement interne à l’entreprise (ATF 147 II 209 consid. 4.1.1 ; REICH/ZÜGER/ BETSCHART, in : ZWEIFEL/BEUSCH [édit.], Bundesgesetz über die direkte Bundessteuer, 4ème éd. 2022, n° 15 ad art. 29 LIFD ; ZÖBELI, Rückstellungen in der Rechnungslegung, thèse, 2003, p. 61).</w:t>
      </w:r>
    </w:p>
    <w:p>
      <w:r>
        <w:rPr>
          <w:b/>
        </w:rPr>
        <w:t>E. 2.2.2</w:t>
      </w:r>
    </w:p>
    <w:p>
      <w:r>
        <w:t>En l’espèce, la recourante soutient avoir pris un engagement ferme d’effectuer des travaux de rénovation pour 491’615 fr. en vertu du contrat d’entreprise totale conclu le 21 novembre 2020 avec sa société sœur E _________ SA. Cet argument ne convainc pas. En effet, dans la mesure où cette société sœur est dirigée par l’actionnaire- administrateur de la recourante, le contrat en question ne saurait être assimilé à un engagement externe à l’entreprise, puisque la recourante ne court aucun risque d’être actionnée sur cette base. Dans les faits, ce contrat ne l’engage pas davantage qu’un plan d’exécution des travaux établi à l’interne. En outre, à teneur du contrat, la recourante s’est engagée à payer les travaux projetés par acomptes, en fonction d’une estimation de leur avancement (cf. chiffre 5). Or, tel que l’a observé le fisc, la société sœur n’avait, à la fin de l’exercice 2020, conclu aucun contrat avec un sous-traitant. La recourante n’encourait donc aucune obligation de paiement à cette date. Ainsi, la provision</w:t>
      </w:r>
    </w:p>
    <w:p>
      <w:r>
        <w:t>- 11 - comptabilisée s’apparente à une réserve en vue de travaux futurs, ce qui n’est pas admis par le droit fiscal, comme mentionné plus haut. Partant, c’est à juste titre que le fisc a refusé d’admettre celle-ci en application de l’art. 63 al. 1 let. a LIFD.</w:t>
      </w:r>
    </w:p>
    <w:p>
      <w:r>
        <w:rPr>
          <w:b/>
        </w:rPr>
        <w:t>E. 2.3</w:t>
      </w:r>
    </w:p>
    <w:p>
      <w:r>
        <w:t>La recourante soutient également que la provision litigieuse est admissible en application de l’art. 63 al. 1 let. c LIFD.</w:t>
      </w:r>
    </w:p>
    <w:p>
      <w:r>
        <w:rPr>
          <w:b/>
        </w:rPr>
        <w:t>E. 2.3.1</w:t>
      </w:r>
    </w:p>
    <w:p>
      <w:r>
        <w:t>Le cas de figure envisagé à l'art. 63 al. 1 let. c LIFD vise les risques de pertes qui ne reposent pas encore sur des engagements effectifs et qui ne concernent pas les actifs circulants. Leur prise en compte sur le plan fiscal est soumise à deux conditions. D’une part, le risque de pertes doit déjà avoir existé au cours de l'exercice lui-même ; des provisions pour risques futurs ne sont pas admissibles. D’autre part, le risque doit être imminent (ATF 147 II 209 consid. 4.2.2.1 ; arrêt du Tribunal fédéral 2C_723/2021 précité consid. 5.7.1).</w:t>
      </w:r>
    </w:p>
    <w:p>
      <w:r>
        <w:rPr>
          <w:b/>
        </w:rPr>
        <w:t>E. 2.3.2</w:t>
      </w:r>
    </w:p>
    <w:p>
      <w:r>
        <w:t>Dans ce contexte, la possibilité de constituer des provisions pour grosses réparations se justifie d’un point de vue fiscal, d’une part, lorsque l'entretien d'un immeuble a été négligé par le passé et qu’il n’a pas été tenu compte de cette situation par la comptabilisation d'amortissements suffisants, de telle sorte que les dépenses attendues à l’avenir en raison des travaux nécessaires ne pourront pas être activées (ATF 147 II 209 consid. 4.2.2.2). En revanche, si la perte de valeur due à l'obsolescence des bâtiments a été prise en compte par des amortissements suffisants, les grosses réparations devront être prises en compte par des inscriptions à l’actif ; il n’y a alors pas de nécessité de constituer des provisions à moyen ou à long terme (ni de les reconnaître fiscalement) (ibidem ; REICH/ZÜGER/BETSCHART, op. cit., n° 36 ad art. 29 LIFD). Le second cas de figure admis par la jurisprudence concerne les cas où des grosses réparations (augmentant la valeur du bien et pouvant être portées à l'actif) sont prévues pour l’exercice suivant, que leur attribution est imminente et que leurs coûts peuvent être estimés. Il peut alors s’avérer nécessaire d’en tenir compte à court terme, dès la phase de préparation des travaux, en constituant une provision sur le plan comptable, c'est-à- dire en réalisant de cette manière une présentation du bénéfice aussi proche que possible de la période concernée. Un tel besoin de constituer une provision (à court terme) est notamment envisageable pour les entreprises disposant d'un parc immobilier important et effectuant des grosses réparations à un rythme régulier (ibidem).</w:t>
      </w:r>
    </w:p>
    <w:p>
      <w:r>
        <w:rPr>
          <w:b/>
        </w:rPr>
        <w:t>E. 2.3.3</w:t>
      </w:r>
    </w:p>
    <w:p>
      <w:r>
        <w:t>Pour les travaux d'entretien courants, l’admission de provisions n'entre en revanche pas en ligne de compte (ibidem).</w:t>
      </w:r>
    </w:p>
    <w:p>
      <w:r>
        <w:t>- 12 -</w:t>
      </w:r>
    </w:p>
    <w:p>
      <w:r>
        <w:rPr>
          <w:b/>
        </w:rPr>
        <w:t>E. 2.3.4</w:t>
      </w:r>
    </w:p>
    <w:p>
      <w:r>
        <w:t>Il appartient au contribuable de prouver que les éléments constitutifs de l’art. 63 LIFD sont remplis (ATF 147 II 209 consid. 5.1.2). Le caractère imminent des travaux à la date de référence peut notamment être prouvé par l’existence d'un plan d'assainissement, de devis déjà obtenus ou de contrats d'entreprise déjà envisagés (ATF 147 II 209 consid. 4.2.2.2 et 5.1.3). Les travaux réalisés au cours d'années ultérieures peuvent également constituer des indices pour établir si les dépenses concernées étaient déjà prévisibles à la fin de l’exercice litigieux (ATF 147 II 209 consid. 5.3.2.1).</w:t>
      </w:r>
    </w:p>
    <w:p>
      <w:r>
        <w:rPr>
          <w:b/>
        </w:rPr>
        <w:t>E. 2.3.5</w:t>
      </w:r>
    </w:p>
    <w:p>
      <w:r>
        <w:t>En l’occurrence, à teneur du dossier, la recourante ne réalise aucune des deux hypothèses décrites ci-dessus. D’une part, ayant acquis le chalet concerné au cours de l’exercice litigieux, elle ne se trouve pas dans la situation où la valeur comptable du bien serait notablement plus élevée que sa valeur réelle, en raison d’amortissements insuffisants. Elle a d’ailleurs précisément indiqué que le prix d’acquisition du chalet tenait compte, d’une part, de sa vétusté et, d’autre part, de sa valeur sur le marché (p. 14 du mémoire de recours). Partant, rien ne l’empêchera d’activer les dépenses liées aux rénovations projetées, de sorte que la comptabilisation d’une provision n’est pas nécessaire pour que son bilan reflète la situation réelle de l’entreprise. D’autre part, la recourante n’a pas démontré le caractère imminent des rénovations projetées. Elle invoque l’existence d’un plan de rénovation comprenant un diagnostic énergétique CECB+, une expertise et un calcul de pré-dimensionnement des structures. Toutefois, aucun de ces éléments ne permet d’établir que les travaux étaient déjà concrètement envisagés à la fin 2020 et que leur réalisation était prévue pour l’exercice suivant. En effet, la recourante ne disposait à cette date d’aucun devis d’un sous-traitant, sa société sœur n’ayant encore procédé à aucun appel d’offre en vue de conclure les contrats nécessaires à la réalisation des travaux. Quant à l’estimation des coûts effectuée par cette société (cf. chiffre 4), elle ne constitue pas un devis et ne renseigne en rien sur la date pour laquelle les rénovations étaient projetées. La recourante a également soutenu que le calendrier des travaux prévu dans le contrat démontrait l’imminence de leur réalisation (cf. chiffre 7). La clause en question indique toutefois que les demandes d’offres et la conclusion des contrats avec les sous-traitants constituaient la troisième phase du projet et nécessitaient un avenant (cf. chiffre 3). Or, à la fin de l’exercice litigieux, la recourante ne se trouvait qu’à la première phase des rénovations, soit au stade de l’avant-projet et de l’estimation des coûts. Ainsi, ce calendrier démontre au contraire que l’exécution des travaux n’était pas imminente à la fin de l’exercice 2020. La recourante a encore allégué que certains travaux avaient déjà débuté en octobre</w:t>
      </w:r>
    </w:p>
    <w:p>
      <w:r>
        <w:t>- 13 - 2020, soit le contrôle, le nettoyage et la réparation des canalisations des eaux usées. Toutefois, ces réparations sont sans rapport avec la rénovation projetée (cf. chiffre 4), et leur coût n’est pas compris dans le montant provisionné. Elles ne permettent donc pas non plus de démontrer que la rénovation était imminente à la fin de l’exercice 2020. La recourante a encore fait valoir que plusieurs imprévus survenus après l’exercice litigieux ont considérablement retardé l’avancement des travaux. Ces éléments ne changent cependant rien au fait que la réalisation effective des rénovations n’était pas encore projetée à la fin de l’exercice 2020. Les arguments liés à l’urgence d’entreprendre ces rénovations sont inopérants pour le même motif. La recourante soutient enfin que les rénovations projetées constituent des frais d’entretien qui ne créeront pas de plus- value, mais sont nécessaires pour maintenir la valeur du bien à sa valeur comptable. Cette thèse ne lui est d’aucun secours, puisque les travaux d’entretien ne peuvent de toute manière pas faire l’objet de provisions, comme on l’a vu plus haut. En conséquence, c’est à juste titre que l’autorité intimée a estimé que la provision litigieuse n’était pas justifiée au regard de l’art. 63 al. 1 let. c LIFD.</w:t>
      </w:r>
    </w:p>
    <w:p>
      <w:r>
        <w:rPr>
          <w:b/>
        </w:rPr>
        <w:t>E. 2.4</w:t>
      </w:r>
    </w:p>
    <w:p>
      <w:r>
        <w:t>En définitive, la provision pour grosses réparations de 491’615 fr. ne repose ni sur un engagement ferme au sens de l’art. 63 al. 1 let. a LIFD, ni sur un risque de pertes imminentes au sens de de l’art. 63 al. 1 let. c LIFD. C’est donc à juste titre que le fisc a procédé à sa reprise, de sorte que les griefs y relatifs doivent être rejetés.</w:t>
      </w:r>
    </w:p>
    <w:p>
      <w:r>
        <w:rPr>
          <w:b/>
        </w:rPr>
        <w:t>E. 3</w:t>
      </w:r>
    </w:p>
    <w:p>
      <w:r>
        <w:t>Dans un second grief, la recourante conteste la reprise de 77’200 fr. relative aux honoraires de conseils de sa société sœur.</w:t>
      </w:r>
    </w:p>
    <w:p>
      <w:r>
        <w:rPr>
          <w:b/>
        </w:rPr>
        <w:t>E. 3.1</w:t>
      </w:r>
    </w:p>
    <w:p>
      <w:r>
        <w:t>Aux termes de l’art. 57 LIFD, l'impôt sur le bénéfice a pour objet le bénéfice net. Selon l’art. 58 al. 1 let. b LIFD, doivent être intégrés au bénéfice imposable tous les prélèvements opérés sur le résultat commercial avant le calcul du solde du compte de résultat, qui ne servent pas à couvrir des dépenses justifiées par l’usage commercial. En font notamment partie les distributions ouvertes ou dissimulées de bénéfice (5ème tiret).</w:t>
      </w:r>
    </w:p>
    <w:p>
      <w:r>
        <w:rPr>
          <w:b/>
        </w:rPr>
        <w:t>E. 3.2</w:t>
      </w:r>
    </w:p>
    <w:p>
      <w:r>
        <w:t>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qui ne servent qu'à l'entretien de l'actionnaire ou à son propre plaisir. Dans ce cas, la société grève indûment son compte de résultats en prenant à sa charge</w:t>
      </w:r>
    </w:p>
    <w:p>
      <w:r>
        <w:t>- 14 - des dépenses privées sous couvert de frais commerciaux (arrêt du Tribunal fédéral 2C_484/2019 du 6 novembre 2019 consid. 7.1 et les références).</w:t>
      </w:r>
    </w:p>
    <w:p>
      <w:r>
        <w:rPr>
          <w:b/>
        </w:rPr>
        <w:t>E. 3.3</w:t>
      </w:r>
    </w:p>
    <w:p>
      <w:r>
        <w:t>Selon la jurisprudence, il y a distribution dissimulée de bénéfice lorsque quatre conditions cumulatives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144 II 427 consid. 6.1 ; arrêt du Tribunal fédéral 2C_877/2021 du 16 janvier 2023 consid. 6.1). Les sociétés sœurs sont considérées comme des proches au sens de cette jurisprudence (arrêt du Tribunal fédéral 9C_678/2022 du 5 juin 2023 consid. 7.6 ; LOCHER/GIGER/PEDROLI, Kommentar zum Bundesgesetz über die direkte Bundessteuer, Teil II, 2ème éd. 2022, n° 151 ad art. 58 LIFD). Ainsi, en cas de prestations appréciables en argent entre sociétés sœurs, il convient d’examiner, sur la base d'une comparaison avec des tiers, si la prestation à évaluer est à ce point inhabituelle par rapport à la conduite habituelle des affaires qu'il y a lieu de conclure qu'elle n'aurait pas été fournie de cette manière si le bénéficiaire de la prestation n'était pas proche du détenteur de parts (ATF 138 II 57 consid. 4.2 ; arrêt du Tribunal fédéral 2C_756/2020 du 3 mai 2021 consid. 4.2)</w:t>
      </w:r>
    </w:p>
    <w:p>
      <w:r>
        <w:rPr>
          <w:b/>
        </w:rPr>
        <w:t>E. 3.4</w:t>
      </w:r>
    </w:p>
    <w:p>
      <w:r>
        <w:t>Les prestations effectuées par une société à une autre peuvent remplir tant les conditions d’une distribution dissimulée de bénéfice que celles relatives à l’évasion fiscale (cf. arrêt du Tribunal fédéral 2C_645/2012, 2C_646/2012 du 13 février 2013 consid. 4.3 ; DANON, in : NOËL/AUBRY GIRARDIN [édit.], Commentaire romand, Impôt fédéral direct, 2ème éd. 2017, n° 174 ad art. 58 LIFD). Selon la jurisprudence, il y a évasion fiscale lorsque les conditions suivantes sont réunies : a) la forme juridique choisie par le contribuable paraît insolite, inappropriée ou étrange, en tout cas inadaptée au but économique poursuivi ; b) ce choix a été opéré abusivement, dans le seul but d'économiser des impôts qui seraient dus si les rapports de droit avaient été aménagés de façon appropriée ; c) le procédé conduirait effectivement à une notable économie d'impôt s'il était admis par l'autorité fiscale (ATF 147 II 338 consid. 3.1 ; 142 II 399 consid. 4.2). Cette dernière condition est en principe admise lorsqu'il y a une économie d'impôt clairement quantifiable (PONCE, L'évasion fiscale en droit interne – Etat des lieux de l'évasion fiscale en matière d'impôts directs dans la jurisprudence et la doctrine, in RDAF 2010 II p. 125 ss, p. 147 ; cf. ég. CORNU, Théorie de l’évasion fiscale et</w:t>
      </w:r>
    </w:p>
    <w:p>
      <w:r>
        <w:t>- 15 - interprétation économique – Les limites imposées par les principes généraux du droit, thèse 2014, p. 361 s.). Lorsque ces conditions sont remplies, l'imposition doit être fondée non pas sur la forme juridique choisie par le contribuable, mais sur la situation qui aurait été appropriée au but économique poursuivi par celui-ci (ATF 147 II 338 consid. 3.1).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(ibidem).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147 II 338 consid. 3.1 ; 142 II 399 consid. 4.2). L’existence d’une évasion fiscale a été reconnue dans un cas où une société avait confié la réalisation de dossiers de ventes à sa société sœur en lui louant le personnel nécessaire à cette fin, plutôt que de les établir elle-même. Ce procédé ne lui avait pas permis de bénéficier du savoir-faire d'un tiers qualifié ni d’en retirer un avantage commercial. Il apparaissait ainsi insolite et aucun autre objectif n’avait pu être identifié que celui de transférer des bénéfices à la société sœur afin de les compenser avec les pertes de cette dernière (cf. arrêt du Tribunal fédéral 2C_645/2012, 2C_646/2012 précité consid. 4.3).</w:t>
      </w:r>
    </w:p>
    <w:p>
      <w:r>
        <w:rPr>
          <w:b/>
        </w:rPr>
        <w:t>E. 3.5</w:t>
      </w:r>
    </w:p>
    <w:p>
      <w:r>
        <w:t>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En matière de distributions dissimulées de bénéfice, cela implique que les autorités fiscales doivent apporter la preuve que la société a fourni une prestation et qu'elle n'a pas obtenu de contre-prestation ou une contre-prestation</w:t>
      </w:r>
    </w:p>
    <w:p>
      <w:r>
        <w:t>- 16 - insuffisante. Si les preuves recueillies par l'autorité fiscale fournissent suffisamment d'indices révélant l'existence d'une telle disproportion, il y a présomption de l'existence d'une distribution dissimulée de bénéfice et il appartient alors à la société contribuable d'établir l'exactitude de ses allégations contraires. Si elle ne parvient pas à prouver que sa démarche satisfait à une comparaison avec des tiers, elle doit en supporter les conséquences (arrêt du Tribunal fédéral 2C_1026/2021 précité consid. 7.2). En matière d’évasion fiscale, lorsque l'autorité fiscale a apporté suffisamment d’éléments pour établir la réalisation des conditions établies par la jurisprudence, il appartient au contribuable de démontrer la justification économique du procédé choisi (ATF 147 II 338 consid. 4.4).</w:t>
      </w:r>
    </w:p>
    <w:p>
      <w:r>
        <w:rPr>
          <w:b/>
        </w:rPr>
        <w:t>E. 3.6.1</w:t>
      </w:r>
    </w:p>
    <w:p>
      <w:r>
        <w:t>En l’espèce, l’autorité intimée a estimé que le paiement par la recourante d’honoraires de conseils à E _________ SA pour 77’200 fr. n’était pas justifié commercialement, dans la mesure où elle aurait pu accomplir ces services elle-même. Cette appréciation doit être confirmée sous l’angle de l’évasion fiscale. En effet, l’on ne saisit pas la justification commerciale pour la recourante de confier le travail en question à sa société sœur plutôt que de l’effectuer elle-même. En procédant de la sorte, elle ne pouvait pas bénéficier du savoir-faire supplémentaire d’un tiers qualifié, dans la mesure où E _________ SA n’employait aucun personnel durant la période en question et que les prestations litigieuses ont été effectuées en intégralité par C _________, administrateur et actionnaire des deux sociétés. La recourante n’a d’ailleurs nullement indiqué quel avantage économique elle avait pu retirer d’un tel procédé. Celui-ci lui a au contraire occasionné des charges supplémentaires de 77’200 fr., de sorte qu’il apparaît insolite au regard du but économique poursuivi.</w:t>
      </w:r>
    </w:p>
    <w:p>
      <w:r>
        <w:rPr>
          <w:b/>
        </w:rPr>
        <w:t>E. 3.6.2</w:t>
      </w:r>
    </w:p>
    <w:p>
      <w:r>
        <w:t>Pour justifier que cette opération n’était pas dictée par des considérations fiscales, la recourante a fait valoir que les deux sociétés poursuivaient des buts distincts : alors qu’elle-même exerçait une activité immobilière sans avoir jamais employé de personnel, sa société sœur était active dans le domaine du conseil. L’on ne voit toutefois pas ce qu’elle entend tirer de cet argument, puisque les services litigieux n’ont pas été exécutés par du personnel qualifié dans le conseil immobilier, mais par son propre administrateur. En outre, son but statutaire inclut précisément la fourniture de services en matière immobilière, tel que l’a relevé à juste titre l’autorité intimée. La recourante soutient également que C _________ n’occupait pas de fonction opérationnelle en son sein, alors que les prestations litigieuses dépassaient le rôle qui incombait à un actionnaire administrateur et que l’intéressé agissait comme directeur</w:t>
      </w:r>
    </w:p>
    <w:p>
      <w:r>
        <w:t>- 17 - opérationnel pour la société sœur. Dans ce contexte, on peut se demander pour quelle raison la recourante n’a pas directement rémunéré son administrateur pour les tâches qu’elle estimait aller au-delà de son activité typique. Elle n’a fourni aucune explication sur les motifs qui l’auraient empêchée de procéder de la sorte. En outre, en rémunérant sa société sœur au tarif habituellement appliqué par celle-ci à des tiers (soit 220 fr./heure), elle a assumé un coût plus élevé que si elle avait rémunéré directement son administrateur, ce tarif incluant nécessairement une marge bénéficiaire. Or, cette majoration de coût ne repose sur aucune justification économique identifiable. Ainsi, contrairement à ce qu’elle prétend, la recourante a bien été « appauvrie » par cette opération. La recourante s’est aussi prévalue du fait que sa société sœur constituait la principale source de revenus de C _________ et qu’il importait de maintenir une séparation entre les activités « opérationnelles » de cette dernière et ses propres activités immobilières. Cette volonté de dissociation ne permet pas de justifier la comptabilisation de charges plus élevées que si la recourante avait réalisé elle-même les prestations en cause. En outre, les conseils en question portaient précisément sur les activités immobilières de la recourante, de sorte qu’il n’existait aucune nécessité d’en externaliser les coûts. Le fait de confier ces tâches à sa société sœur allait même à l’encontre du prétendu objectif de séparer clairement les deux domaines d’activité. La recourante souligne encore que la gestion de ses actifs immobiliers avait déjà été déléguée à sa société sœur dès 2013. Elle en déduit que les conseils litigieux s’inscrivaient dans une relation contractuelle préexistante et n’étaient pas dictés par des motifs fiscaux. Cet argument n’emporte toutefois pas la conviction. En effet, les prestations facturées antérieurement au titre de conseils portaient sur des montants très inférieurs à ceux litigieux dans la présente cause. Certes, une facture de 47’800 fr. relative à la promotion des locations sur internet a également été émise par E _________ SA en 2019 (cf. p. 476 du dossier du TC). Cet élément ne permet toutefois pas d’écarter l’existence d’une évasion fiscale. En effet, il convient d’observer que l’exercice 2019 s’est soldé par une perte de quelque 51’000 fr., laquelle a été reportée sur la période fiscale ici litigieuse (cf. dossier du SCC, déclaration d’impôt 2020 et ses annexes). En outre, la décision de vendre l’appartement de D _________ avait déjà été prise par la recourante à la fin de l’exercice 2018 (cf. allégués 17 à 21 des déterminations du 30 avril 2025, p. 541 s. du dossier du TC). L’on peut partant s’interroger sur la justification économique de ces prestations et sur le point de savoir si elles n’auraient pas également dû faire l’objet d’une reprise par le fisc, cette question dépassant toutefois le cadre du présent</w:t>
      </w:r>
    </w:p>
    <w:p>
      <w:r>
        <w:t>- 18 - litige. Quoi qu’il en soit, la recourante ne peut tirer aucun avantage de cette facturation antérieure, le principe de l’étanchéité des périodes fiscales impliquant que l'autorité n'est pas liée pour l'avenir par une taxation notifiée pour une période fiscale déterminée (ATF 147 II 155 consid. 10.5.1).</w:t>
      </w:r>
    </w:p>
    <w:p>
      <w:r>
        <w:rPr>
          <w:b/>
        </w:rPr>
        <w:t>E. 3.6.3</w:t>
      </w:r>
    </w:p>
    <w:p>
      <w:r>
        <w:t>En définitive, la recourante n’est pas parvenue à établir que l’opération en cause répondait à des motivations autres qu’une économie d’impôts. Il s’impose dès lors de retenir qu’elle visait principalement à réduire de 77’200 fr. le bénéfice issu de la vente de l’appartement de D _________ en transférant ce montant vers sa société sœur, dont le résultat de l’exercice 2020 aurait sinon été déficitaire. De plus, la société sœur E _________ SA bénéficie d’un report de pertes important datant des années 2015 et 2016. Les pertes reportables s’élèvent à 156'810 fr. à la fin de l’exercice 2019. Elles concernent l’exercice 2015, pour 105'264 fr., et 2016, pour 51'546 fr., et ne pourront plus être reportées à partir des exercices 2022 et 2023 (cf. tableau figurant en p. 577 du dossier du SCC). Il apparait donc clairement que le procédé a pour but d’éponger les pertes de la société sœur tant que cela est encore en possible. Ce procédé aurait ainsi conduit à une notable économie d’impôt s’il avait été admis par le fisc. A cet égard, la recourante a fait valoir que la restructuration du patrimoine immobilier des époux B _________ et C _________ en 2013 avait au contraire entraîné une charge fiscale significative, notamment du fait de l’imposition d’un gain immobilier. Elle perd toutefois de vue que l’économie d’impôt mise en cause n’est pas liée à la réorganisation patrimoniale opérée par ses actionnaires en 2013, mais à la diminution de son bénéfice de l’exercice 2020. Il s’ensuit que toutes les conditions de l’évasion fiscale sont réunies. En conséquence, la recourante doit être imposée selon la situation qui aurait été la sienne si elle avait réalisé elle-même les services litigieux. Sous cet angle, les paiements opérés en faveur de E _________ SA l’ont été sans contre-prestation correspondante et s’expliquent uniquement par les liens de cette société avec la recourante. Il est en effet évident qu’une entreprise tierce n’aurait pas été rémunérée pour des prestations fournies par l’administrateur de la recourante lui-même. Le caractère insolite d’un tel procédé ne pouvait échapper à l’intéressé. Partant, c’est à bon droit que le fisc a retenu l’existence d’une distribution dissimulée de bénéfice et opéré une reprise sur l’entier des factures litigieuses.</w:t>
      </w:r>
    </w:p>
    <w:p>
      <w:r>
        <w:rPr>
          <w:b/>
        </w:rPr>
        <w:t>E. 3.6.4</w:t>
      </w:r>
    </w:p>
    <w:p>
      <w:r>
        <w:t>La reprise opérée sur la facture n° 1 de 18'040 fr. du 30 septembre 2020, relative à la recherche d’acquéreurs potentiels pour l’appartement de D _________ ainsi que la sélection des courtiers, se justifie également par l’incohérence de cette facturation. En</w:t>
      </w:r>
    </w:p>
    <w:p>
      <w:r>
        <w:t>- 19 - effet, les contrats de courtage ayant été signés en 2018 et en 2019, il n’est pas cohérent que la facturation intervienne seulement sur la période fiscale 2020. En outre, la reprise opérée sur la facture n° 2 de 25’080 fr. du 30 octobre 2020, relative à la valorisation des parcelles n° xxx et xxx1 de la commune de I _________, se justifie aussi par l'absence de lien entre ces prestations et les activités commerciales de la recourante. En effet, il n’est pas contesté que ces parcelles n’ont jamais appartenu à la société, mais étaient détenues à titre privé par son actionnaire, qui les a vendues en septembre 2020. La recourante soutient que ces études lui ont permis de renoncer à l’acquisition des terrains, en raison de la faible rentabilité attendue d’un projet de promotion immobilière. L’on peine toutefois à concevoir qu’elle aurait financé de telles analyses si les parcelles avaient appartenu à un tiers non actionnaire. Elle n’a d’ailleurs pas allégué avoir commandé des études similaires pour d’autres parcelles détenues par des tiers. En outre, elle a elle-même indiqué que son actionnaire avait vendu ces terrains durant l’exercice litigieux, n’envisageant pas de mener une promotion immobilière à titre privé (p. 19 du mémoire de recours). Il était donc le principal intéressé par les études litigieuses, qui relevaient de la gestion de sa fortune privée. Le seul fait qu’il ait, à un moment donné, envisagé de transférer à la recourante les parcelles en cause ne suffit pas pour justifier que celle-ci ait pris à sa charge ces prestations, ce d’autant que ce transfert n’a finalement pas eu lieu.</w:t>
      </w:r>
    </w:p>
    <w:p>
      <w:r>
        <w:rPr>
          <w:b/>
        </w:rPr>
        <w:t>E. 3.6.5</w:t>
      </w:r>
    </w:p>
    <w:p>
      <w:r>
        <w:t>En définitive, la recourante n’est pas parvenue à établir que les factures de conseils à hauteur de 77’200 fr. étaient justifiées par l’usage commercial. Les reprises y relatives doivent donc être confirmées et les griefs y relatifs rejetés. III. Impôts cantonaux et communaux</w:t>
      </w:r>
    </w:p>
    <w:p>
      <w:r>
        <w:rPr>
          <w:b/>
        </w:rPr>
        <w:t>E. 4</w:t>
      </w:r>
    </w:p>
    <w:p>
      <w:r>
        <w:t>Les principes juridiques précités, qui concernent la déduction des provisions, trouvent leur parallèle en matière d'impôts cantonal et communal (cf. 24 al. 4 et 10 al. 1 let. b LHID ; art. 85 al. 1 et 25 al. 1 let. a et c LF). L’art. 25 al. 2 LF, applicable par le renvoi de l’art. 85 al. 1 LF, correspond du reste à l’art. 63 al. 2 LIFD. En outre, l’art. 81 al. 1 let. b LF correspond à l’art. 58 al. 1 let. b LIFD. Il s’ensuit que la jurisprudence rendue en matière d'impôt fédéral direct est également valable pour l'application des dispositions cantonales harmonisées correspondantes (ATF 140 II 88 consid. 10). Il peut ainsi être renvoyé, s'agissant de l'impôt cantonal et communal, à la motivation développée en matière d'impôt fédéral direct en relation avec les reprises sur le bénéfice.</w:t>
      </w:r>
    </w:p>
    <w:p>
      <w:r>
        <w:rPr>
          <w:b/>
        </w:rPr>
        <w:t>E. 5.1</w:t>
      </w:r>
    </w:p>
    <w:p>
      <w:r>
        <w:t>La recourante a également conclu à l’annulation de la reprise de 389’615 fr. sur le</w:t>
      </w:r>
    </w:p>
    <w:p>
      <w:r>
        <w:t>- 20 - capital, liée à la dissolution de la provision pour grosses réparations (soit 491’615 fr. - 102’000 fr.).</w:t>
      </w:r>
    </w:p>
    <w:p>
      <w:r>
        <w:rPr>
          <w:b/>
        </w:rPr>
        <w:t>E. 5.2</w:t>
      </w:r>
    </w:p>
    <w:p>
      <w:r>
        <w:t>En vertu de l'art. 2 al. 1 let. b LHID, les cantons prélèvent un impôt sur le capital des personnes morales. Cet impôt a pour objet le capital propre (art. 29 al. 1 LHID). Celui-ci comprend, pour les sociétés de capitaux et les sociétés coopératives, le capital-actions ou le capital social libéré, les réserves ouvertes et les réserves latentes constituées au moyen de bénéfices imposés (art. 29 al. 2 let. a LHID). Les art. 94 et 95 LF contiennent des dispositions similaires. Les provisions non admises qui ont fait l’objet de reprises constituent précisément des réserves latentes constituées au moyen de bénéfices imposés (arrêt du Tribunal fédéral 2C_723/2021 précité consid. 6.2). En l’occurrence, la provision litigieuse ayant été reprise à bon droit (cf. supra consid. 2), elle doit être ajoutée au capital imposable. Le grief y relatif doit donc, lui aussi, être rejeté. IV. Conclusion, frais et dépens</w:t>
      </w:r>
    </w:p>
    <w:p>
      <w:r>
        <w:rPr>
          <w:b/>
        </w:rPr>
        <w:t>E. 6</w:t>
      </w:r>
    </w:p>
    <w:p>
      <w:r>
        <w:t>Les conclusions qui précèdent conduisent au rejet du recours, y compris s’agissant des conclusions relatives aux intérêts dus par la recourante, qui n’ont pas de portée indépendante par rapport aux griefs précités (art. 150 al. 3 LF ; art. 80 al. 1 let. e et 60 al. 1 LPJA).</w:t>
      </w:r>
    </w:p>
    <w:p>
      <w:r>
        <w:rPr>
          <w:b/>
        </w:rPr>
        <w:t>E. 7</w:t>
      </w:r>
    </w:p>
    <w:p>
      <w:r>
        <w:t>Les frais de la cause, fixés principalement sur le vu des principes de la couverture des frais et de l’équivalence des prestations, à 2000 fr., sont mis à la charge de la recourante, qui succombe et n’a pas droit à des dépens (art. 144 LIFD, art. 8 LALIFD ; art. 150 al. 3 LF ; art. 89 al. 1 LPJA,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